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87502">
      <w:pPr>
        <w:jc w:val="left"/>
        <w:rPr>
          <w:rFonts w:ascii="华文仿宋" w:hAnsi="华文仿宋" w:eastAsia="华文仿宋"/>
          <w:sz w:val="28"/>
          <w:szCs w:val="28"/>
          <w:highlight w:val="none"/>
        </w:rPr>
      </w:pPr>
      <w:r>
        <w:rPr>
          <w:rFonts w:ascii="华文仿宋" w:hAnsi="华文仿宋" w:eastAsia="华文仿宋"/>
          <w:sz w:val="28"/>
          <w:szCs w:val="28"/>
          <w:highlight w:val="none"/>
        </w:rPr>
        <w:t>附件2</w:t>
      </w:r>
      <w:r>
        <w:rPr>
          <w:rFonts w:hint="eastAsia" w:ascii="华文仿宋" w:hAnsi="华文仿宋" w:eastAsia="华文仿宋"/>
          <w:sz w:val="28"/>
          <w:szCs w:val="28"/>
          <w:highlight w:val="none"/>
        </w:rPr>
        <w:t>：</w:t>
      </w:r>
    </w:p>
    <w:p w14:paraId="3370D67C">
      <w:pPr>
        <w:spacing w:line="600" w:lineRule="auto"/>
        <w:jc w:val="center"/>
        <w:rPr>
          <w:highlight w:val="none"/>
        </w:rPr>
      </w:pPr>
      <w:r>
        <w:rPr>
          <w:rFonts w:hint="eastAsia" w:ascii="华文中宋" w:hAnsi="华文中宋" w:eastAsia="华文中宋" w:cs="黑体"/>
          <w:b/>
          <w:bCs/>
          <w:sz w:val="36"/>
          <w:szCs w:val="36"/>
          <w:highlight w:val="none"/>
        </w:rPr>
        <w:t>综合评分表</w:t>
      </w:r>
    </w:p>
    <w:tbl>
      <w:tblPr>
        <w:tblStyle w:val="11"/>
        <w:tblpPr w:leftFromText="180" w:rightFromText="180" w:vertAnchor="page" w:horzAnchor="margin" w:tblpY="3016"/>
        <w:tblOverlap w:val="never"/>
        <w:tblW w:w="8522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8"/>
        <w:gridCol w:w="1500"/>
        <w:gridCol w:w="602"/>
        <w:gridCol w:w="5236"/>
        <w:gridCol w:w="586"/>
      </w:tblGrid>
      <w:tr w14:paraId="5618F64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598" w:type="dxa"/>
            <w:vAlign w:val="center"/>
          </w:tcPr>
          <w:p w14:paraId="2EB3DC68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13FC52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</w:rPr>
              <w:t>评分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eastAsia="zh-CN"/>
              </w:rPr>
              <w:t>因素</w:t>
            </w:r>
          </w:p>
        </w:tc>
        <w:tc>
          <w:tcPr>
            <w:tcW w:w="602" w:type="dxa"/>
            <w:vAlign w:val="center"/>
          </w:tcPr>
          <w:p w14:paraId="69F94821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5236" w:type="dxa"/>
            <w:vAlign w:val="center"/>
          </w:tcPr>
          <w:p w14:paraId="0AB2D3FE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highlight w:val="none"/>
              </w:rPr>
              <w:t>评审要素及评分标准</w:t>
            </w:r>
          </w:p>
        </w:tc>
        <w:tc>
          <w:tcPr>
            <w:tcW w:w="586" w:type="dxa"/>
            <w:vAlign w:val="center"/>
          </w:tcPr>
          <w:p w14:paraId="1149E6E8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highlight w:val="none"/>
              </w:rPr>
              <w:t>得分</w:t>
            </w:r>
          </w:p>
        </w:tc>
      </w:tr>
      <w:tr w14:paraId="0649BA68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</w:trPr>
        <w:tc>
          <w:tcPr>
            <w:tcW w:w="598" w:type="dxa"/>
            <w:tcBorders>
              <w:bottom w:val="nil"/>
            </w:tcBorders>
            <w:vAlign w:val="center"/>
          </w:tcPr>
          <w:p w14:paraId="482000AA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position w:val="-4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0" w:type="auto"/>
            <w:vAlign w:val="center"/>
          </w:tcPr>
          <w:p w14:paraId="24E5FAF1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  <w:highlight w:val="none"/>
              </w:rPr>
              <w:t>报价</w:t>
            </w:r>
          </w:p>
        </w:tc>
        <w:tc>
          <w:tcPr>
            <w:tcW w:w="602" w:type="dxa"/>
            <w:vAlign w:val="center"/>
          </w:tcPr>
          <w:p w14:paraId="4D300D1B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cs="宋体"/>
                <w:color w:val="auto"/>
                <w:spacing w:val="-6"/>
                <w:sz w:val="21"/>
                <w:szCs w:val="21"/>
                <w:highlight w:val="none"/>
                <w:lang w:eastAsia="zh-CN"/>
              </w:rPr>
              <w:t>3</w:t>
            </w:r>
            <w:r>
              <w:rPr>
                <w:rFonts w:hint="eastAsia" w:cs="宋体"/>
                <w:color w:val="auto"/>
                <w:spacing w:val="-6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5236" w:type="dxa"/>
            <w:vAlign w:val="center"/>
          </w:tcPr>
          <w:p w14:paraId="75D95CA1">
            <w:pPr>
              <w:numPr>
                <w:ilvl w:val="0"/>
                <w:numId w:val="0"/>
              </w:numPr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val="en-US" w:eastAsia="zh-Hans"/>
              </w:rPr>
              <w:t>以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eastAsia="zh-CN"/>
              </w:rPr>
              <w:t>满足采购文件要求且报价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val="en-US" w:eastAsia="zh-Hans"/>
              </w:rPr>
              <w:t>最低的供应商报价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eastAsia="zh-CN"/>
              </w:rPr>
              <w:t>为评审基准价，其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val="en-US" w:eastAsia="zh-Hans"/>
              </w:rPr>
              <w:t>价格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eastAsia="zh-CN"/>
              </w:rPr>
              <w:t>分为满分。其他供应商的价格分统一按照下列公式计算：报价分=(评审基准价／供应商报价)×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586" w:type="dxa"/>
            <w:vAlign w:val="center"/>
          </w:tcPr>
          <w:p w14:paraId="4775E42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</w:tc>
      </w:tr>
      <w:tr w14:paraId="0BA1A851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98" w:type="dxa"/>
            <w:tcBorders>
              <w:right w:val="single" w:color="auto" w:sz="4" w:space="0"/>
            </w:tcBorders>
            <w:vAlign w:val="center"/>
          </w:tcPr>
          <w:p w14:paraId="1675DBBE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二</w:t>
            </w:r>
          </w:p>
        </w:tc>
        <w:tc>
          <w:tcPr>
            <w:tcW w:w="0" w:type="auto"/>
            <w:vAlign w:val="center"/>
          </w:tcPr>
          <w:p w14:paraId="38F81A79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eastAsia="zh-CN"/>
              </w:rPr>
              <w:t>资质</w:t>
            </w:r>
          </w:p>
        </w:tc>
        <w:tc>
          <w:tcPr>
            <w:tcW w:w="602" w:type="dxa"/>
            <w:vAlign w:val="center"/>
          </w:tcPr>
          <w:p w14:paraId="4397E806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auto"/>
                <w:spacing w:val="-2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236" w:type="dxa"/>
            <w:vAlign w:val="center"/>
          </w:tcPr>
          <w:p w14:paraId="01B9B26C">
            <w:pPr>
              <w:pStyle w:val="2"/>
              <w:spacing w:line="240" w:lineRule="auto"/>
              <w:ind w:left="0" w:leftChars="0" w:right="0" w:rightChars="0" w:firstLine="0" w:firstLineChars="0"/>
              <w:rPr>
                <w:rStyle w:val="9"/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1、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Hans"/>
              </w:rPr>
              <w:t>投标人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具有在投标截止日前有效的质量管理体系认证（ISO9001）、环境管理体系认证（ISO14001）、职业健康安全管理体系认证（ISO45001）证书的，每提供一项证书，得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分，本项最高得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Style w:val="9"/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分。</w:t>
            </w:r>
          </w:p>
          <w:p w14:paraId="78A0E83B">
            <w:pPr>
              <w:pStyle w:val="2"/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eastAsia="zh-CN"/>
              </w:rPr>
              <w:t>注：投标人须提供有效的认证证书复印件（或电子扫描件）并加盖公章，同时提供在“国家市场监督管理总局全国认证认可信息公共服务平台”上查询到的对应认证信息网页截图。未按要求提供或查询结果与证书信息不一致的，不予认可。</w:t>
            </w:r>
          </w:p>
          <w:p w14:paraId="52CB002C">
            <w:pPr>
              <w:pStyle w:val="3"/>
              <w:ind w:left="0" w:leftChars="0" w:right="0" w:rightChars="0" w:firstLine="0" w:firstLineChars="0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lang w:eastAsia="zh-CN"/>
              </w:rPr>
              <w:t>具有省级上住房和城乡主管部门颁发的“输变电工程专业承包二级”及以上资质得2分，不具备的得0分。</w:t>
            </w:r>
          </w:p>
          <w:p w14:paraId="7AECA660">
            <w:pPr>
              <w:pStyle w:val="3"/>
              <w:ind w:left="0" w:leftChars="0" w:right="0" w:rightChars="0" w:firstLine="0" w:firstLineChars="0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lang w:eastAsia="zh-CN"/>
              </w:rPr>
              <w:t>具有国家能源局颁发的“承装(修.试)电力设施许可证”承装类、承修类、承试类均为二级及以上的得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lang w:eastAsia="zh-CN"/>
              </w:rPr>
              <w:t>分，其中一项不满足得0分。</w:t>
            </w:r>
          </w:p>
        </w:tc>
        <w:tc>
          <w:tcPr>
            <w:tcW w:w="586" w:type="dxa"/>
            <w:vAlign w:val="center"/>
          </w:tcPr>
          <w:p w14:paraId="5D21B83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</w:tc>
      </w:tr>
      <w:tr w14:paraId="40810E3F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6" w:hRule="atLeast"/>
        </w:trPr>
        <w:tc>
          <w:tcPr>
            <w:tcW w:w="598" w:type="dxa"/>
            <w:tcBorders>
              <w:right w:val="single" w:color="auto" w:sz="4" w:space="0"/>
            </w:tcBorders>
            <w:vAlign w:val="center"/>
          </w:tcPr>
          <w:p w14:paraId="3FAAE8D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三</w:t>
            </w:r>
          </w:p>
        </w:tc>
        <w:tc>
          <w:tcPr>
            <w:tcW w:w="0" w:type="auto"/>
            <w:vAlign w:val="center"/>
          </w:tcPr>
          <w:p w14:paraId="244F9C57">
            <w:pPr>
              <w:pStyle w:val="1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影响力及绿色双碳</w:t>
            </w:r>
          </w:p>
        </w:tc>
        <w:tc>
          <w:tcPr>
            <w:tcW w:w="602" w:type="dxa"/>
            <w:vAlign w:val="center"/>
          </w:tcPr>
          <w:p w14:paraId="185F3330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5236" w:type="dxa"/>
            <w:vAlign w:val="center"/>
          </w:tcPr>
          <w:p w14:paraId="65D26160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1、企业信用等级“AAA级”得1分，无得0分。             2、具有“中国绿色环保企业”证书得1分，无得0分。      3、具有双碳 ESG 报告或绿色低碳专项报告得1分，无得0分</w:t>
            </w:r>
          </w:p>
        </w:tc>
        <w:tc>
          <w:tcPr>
            <w:tcW w:w="586" w:type="dxa"/>
            <w:vAlign w:val="center"/>
          </w:tcPr>
          <w:p w14:paraId="5641D74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</w:tc>
      </w:tr>
      <w:tr w14:paraId="3B00612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8" w:hRule="atLeast"/>
        </w:trPr>
        <w:tc>
          <w:tcPr>
            <w:tcW w:w="598" w:type="dxa"/>
            <w:tcBorders>
              <w:right w:val="single" w:color="auto" w:sz="4" w:space="0"/>
            </w:tcBorders>
            <w:vAlign w:val="center"/>
          </w:tcPr>
          <w:p w14:paraId="3332DFF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四</w:t>
            </w:r>
          </w:p>
        </w:tc>
        <w:tc>
          <w:tcPr>
            <w:tcW w:w="0" w:type="auto"/>
            <w:vAlign w:val="center"/>
          </w:tcPr>
          <w:p w14:paraId="69D5608A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业绩</w:t>
            </w:r>
          </w:p>
        </w:tc>
        <w:tc>
          <w:tcPr>
            <w:tcW w:w="602" w:type="dxa"/>
            <w:vAlign w:val="center"/>
          </w:tcPr>
          <w:p w14:paraId="3BE1F14F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5236" w:type="dxa"/>
            <w:vAlign w:val="center"/>
          </w:tcPr>
          <w:p w14:paraId="63C64E16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Hans"/>
              </w:rPr>
              <w:t>提供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Hans"/>
              </w:rPr>
              <w:t>202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Hans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Hans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Hans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Hans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Hans"/>
              </w:rPr>
              <w:t>日以来完成的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高低压设施设备维保或调试业绩，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Hans"/>
              </w:rPr>
              <w:t>每提供一个有效业绩得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Hans"/>
              </w:rPr>
              <w:t>分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Hans"/>
              </w:rPr>
              <w:t>最高得分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8分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Hans"/>
              </w:rPr>
              <w:t>。</w:t>
            </w:r>
          </w:p>
          <w:p w14:paraId="7E012940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（注：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业绩证明材料为合同及该合同履约期内对应的发票（如分批次付款，提供一次即可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Hans"/>
              </w:rPr>
              <w:t>以上内容须加盖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报价人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Hans"/>
              </w:rPr>
              <w:t>人公章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Hans"/>
              </w:rPr>
              <w:t>。</w:t>
            </w:r>
          </w:p>
        </w:tc>
        <w:tc>
          <w:tcPr>
            <w:tcW w:w="586" w:type="dxa"/>
            <w:vAlign w:val="center"/>
          </w:tcPr>
          <w:p w14:paraId="1300FDF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</w:tc>
      </w:tr>
      <w:tr w14:paraId="23EBD12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598" w:type="dxa"/>
            <w:tcBorders>
              <w:right w:val="single" w:color="auto" w:sz="4" w:space="0"/>
            </w:tcBorders>
            <w:vAlign w:val="center"/>
          </w:tcPr>
          <w:p w14:paraId="197C423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0" w:type="auto"/>
            <w:vAlign w:val="center"/>
          </w:tcPr>
          <w:p w14:paraId="2250937E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维保人员资质</w:t>
            </w:r>
          </w:p>
        </w:tc>
        <w:tc>
          <w:tcPr>
            <w:tcW w:w="602" w:type="dxa"/>
            <w:vAlign w:val="center"/>
          </w:tcPr>
          <w:p w14:paraId="7628ABED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5236" w:type="dxa"/>
            <w:vAlign w:val="center"/>
          </w:tcPr>
          <w:p w14:paraId="560B8400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持有电气试验作业证2人以上同时具有初级以上职称证书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得3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分，否则得0分。</w:t>
            </w:r>
          </w:p>
          <w:p w14:paraId="139EA4C0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持有电力电缆作业证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人以上同时具有初级以上职称证书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得3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分，否则得0分。</w:t>
            </w:r>
          </w:p>
          <w:p w14:paraId="6F271162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持有继电保护作业证2人以上同时具有初级以上职称证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得3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分，否则得0分。</w:t>
            </w:r>
          </w:p>
          <w:p w14:paraId="64CDB3C7">
            <w:pPr>
              <w:pStyle w:val="3"/>
              <w:ind w:left="0" w:leftChars="0" w:right="0" w:righ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注：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  <w:r>
              <w:rPr>
                <w:rFonts w:hint="eastAsia"/>
              </w:rPr>
              <w:t>）以上人员</w:t>
            </w:r>
            <w:r>
              <w:rPr>
                <w:rFonts w:hint="eastAsia" w:eastAsia="宋体"/>
                <w:lang w:val="en-US" w:eastAsia="zh-CN"/>
              </w:rPr>
              <w:t>不</w:t>
            </w:r>
            <w:r>
              <w:rPr>
                <w:rFonts w:hint="eastAsia"/>
              </w:rPr>
              <w:t>得重复使用。</w:t>
            </w:r>
          </w:p>
          <w:p w14:paraId="37534EA0">
            <w:pPr>
              <w:pStyle w:val="3"/>
              <w:ind w:right="0" w:rightChars="0" w:firstLine="420" w:firstLineChars="200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  <w:r>
              <w:rPr>
                <w:rFonts w:hint="eastAsia"/>
              </w:rPr>
              <w:t>）以上人员须提供社保缴费证明。社保缴费证明是指，由社保部门出具的人员在该投标</w:t>
            </w:r>
            <w:r>
              <w:rPr>
                <w:rFonts w:hint="eastAsia" w:ascii="宋体" w:hAnsi="宋体" w:eastAsia="宋体" w:cs="宋体"/>
              </w:rPr>
              <w:t>人单位最近6个月连续缴费证明，从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</w:rPr>
              <w:t>文件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发布之日起</w:t>
            </w:r>
            <w:r>
              <w:rPr>
                <w:rFonts w:hint="eastAsia" w:ascii="宋体" w:hAnsi="宋体" w:eastAsia="宋体" w:cs="宋体"/>
              </w:rPr>
              <w:t>的上一个月起算，往前推6个月的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不</w:t>
            </w:r>
            <w:r>
              <w:rPr>
                <w:rFonts w:hint="eastAsia" w:ascii="宋体" w:hAnsi="宋体" w:eastAsia="宋体" w:cs="宋体"/>
              </w:rPr>
              <w:t>间断的缴费证明，企业设立不足个月的可少于6个月；退休人员提供退休证明材料，无需提供社保缴费证明；新聘人员提供至少1个月在该单位的社保缴费证明并提供聘用合同。</w:t>
            </w:r>
          </w:p>
        </w:tc>
        <w:tc>
          <w:tcPr>
            <w:tcW w:w="586" w:type="dxa"/>
            <w:vAlign w:val="center"/>
          </w:tcPr>
          <w:p w14:paraId="7789024E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</w:tc>
      </w:tr>
      <w:tr w14:paraId="4E80CE66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5" w:hRule="atLeast"/>
        </w:trPr>
        <w:tc>
          <w:tcPr>
            <w:tcW w:w="598" w:type="dxa"/>
            <w:tcBorders>
              <w:right w:val="single" w:color="auto" w:sz="4" w:space="0"/>
            </w:tcBorders>
            <w:vAlign w:val="center"/>
          </w:tcPr>
          <w:p w14:paraId="772BCB65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0" w:type="auto"/>
            <w:vAlign w:val="center"/>
          </w:tcPr>
          <w:p w14:paraId="6DAEB17E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技术负责人资质</w:t>
            </w:r>
          </w:p>
        </w:tc>
        <w:tc>
          <w:tcPr>
            <w:tcW w:w="602" w:type="dxa"/>
            <w:vAlign w:val="center"/>
          </w:tcPr>
          <w:p w14:paraId="73EE30DB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236" w:type="dxa"/>
            <w:vAlign w:val="center"/>
          </w:tcPr>
          <w:p w14:paraId="03CA5022">
            <w:pPr>
              <w:numPr>
                <w:ilvl w:val="0"/>
                <w:numId w:val="1"/>
              </w:num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具有电力（电气）工程相关专业中级及以上职称得2分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5B459F64">
            <w:pPr>
              <w:numPr>
                <w:ilvl w:val="0"/>
                <w:numId w:val="1"/>
              </w:num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具有电力（电气）工程相关专业高级及以上职称得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分。</w:t>
            </w:r>
          </w:p>
          <w:p w14:paraId="02D7A363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注：1）以上人员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不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得重复使用。</w:t>
            </w:r>
          </w:p>
          <w:p w14:paraId="4FE557A5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2）以上人员须提供社保缴费证明。社保缴费证明是指，由社保部门出具的人员在该投标人单位最近6个月连续缴费证明，从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文件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发布之日起的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一个月起算，往前推6个月的不间断的缴费证明，企业设立不足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个月的可少于6个月；退休人员提供退休证明材料，无需提供社保缴费证明；新聘人员提供至少1个月在该投标人单位的社保缴费证明并提供聘用合同。</w:t>
            </w:r>
          </w:p>
        </w:tc>
        <w:tc>
          <w:tcPr>
            <w:tcW w:w="586" w:type="dxa"/>
            <w:vAlign w:val="center"/>
          </w:tcPr>
          <w:p w14:paraId="503592A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</w:tc>
      </w:tr>
      <w:tr w14:paraId="3D8BF621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5" w:hRule="atLeast"/>
        </w:trPr>
        <w:tc>
          <w:tcPr>
            <w:tcW w:w="598" w:type="dxa"/>
            <w:tcBorders>
              <w:right w:val="single" w:color="auto" w:sz="4" w:space="0"/>
            </w:tcBorders>
            <w:vAlign w:val="center"/>
          </w:tcPr>
          <w:p w14:paraId="6496FA1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0" w:type="auto"/>
            <w:vAlign w:val="center"/>
          </w:tcPr>
          <w:p w14:paraId="748B1208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cs="宋体"/>
                <w:color w:val="auto"/>
                <w:sz w:val="21"/>
                <w:szCs w:val="21"/>
                <w:highlight w:val="none"/>
                <w:lang w:val="en-US" w:eastAsia="zh-CN"/>
              </w:rPr>
              <w:t>调试维护设备配置</w:t>
            </w:r>
          </w:p>
        </w:tc>
        <w:tc>
          <w:tcPr>
            <w:tcW w:w="602" w:type="dxa"/>
            <w:vAlign w:val="center"/>
          </w:tcPr>
          <w:p w14:paraId="10C077FC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236" w:type="dxa"/>
            <w:vAlign w:val="center"/>
          </w:tcPr>
          <w:p w14:paraId="368F1CD9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供应商须具有以下调试维护设备有效的效准证书，每提供一份得1分，最高10分。</w:t>
            </w:r>
          </w:p>
          <w:p w14:paraId="1758B54A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1.断路器特性测试仪</w:t>
            </w:r>
          </w:p>
          <w:p w14:paraId="79ED8AFB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2.变频串联谐振试验成套装置</w:t>
            </w:r>
          </w:p>
          <w:p w14:paraId="3163E95E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3.变压器变比测试仪</w:t>
            </w:r>
          </w:p>
          <w:p w14:paraId="18B4997F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4.变压器直流电阻测试仪</w:t>
            </w:r>
          </w:p>
          <w:p w14:paraId="4C22BB31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5.接地电阻测试仪</w:t>
            </w:r>
          </w:p>
          <w:p w14:paraId="30D2A181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6.绝缘电阻测试仪</w:t>
            </w:r>
          </w:p>
          <w:p w14:paraId="15937D4A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7.雷击计数器校验仪</w:t>
            </w:r>
          </w:p>
          <w:p w14:paraId="7FE400DB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8.三相继电保护测试仪</w:t>
            </w:r>
          </w:p>
          <w:p w14:paraId="21ED9B3A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9.数字钳形表</w:t>
            </w:r>
          </w:p>
          <w:p w14:paraId="503C48E1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10.直流高压发生器。</w:t>
            </w:r>
          </w:p>
        </w:tc>
        <w:tc>
          <w:tcPr>
            <w:tcW w:w="586" w:type="dxa"/>
            <w:vAlign w:val="center"/>
          </w:tcPr>
          <w:p w14:paraId="257B391E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</w:tc>
      </w:tr>
      <w:tr w14:paraId="30A2382D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598" w:type="dxa"/>
            <w:tcBorders>
              <w:right w:val="single" w:color="auto" w:sz="4" w:space="0"/>
            </w:tcBorders>
            <w:vAlign w:val="center"/>
          </w:tcPr>
          <w:p w14:paraId="6905925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1500" w:type="dxa"/>
            <w:vAlign w:val="center"/>
          </w:tcPr>
          <w:p w14:paraId="2B66C5E0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cs="宋体"/>
                <w:color w:val="auto"/>
                <w:sz w:val="21"/>
                <w:szCs w:val="21"/>
                <w:highlight w:val="none"/>
                <w:lang w:val="en-US" w:eastAsia="zh-CN"/>
              </w:rPr>
              <w:t>保障及应急响应</w:t>
            </w:r>
          </w:p>
        </w:tc>
        <w:tc>
          <w:tcPr>
            <w:tcW w:w="602" w:type="dxa"/>
            <w:vAlign w:val="center"/>
          </w:tcPr>
          <w:p w14:paraId="7C63236B">
            <w:pPr>
              <w:pStyle w:val="1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5236" w:type="dxa"/>
            <w:vAlign w:val="center"/>
          </w:tcPr>
          <w:p w14:paraId="39E8C9A2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1.设备保障能力：为保障在突发状况下的应急响应和快速处置能力，确保设备更换的及时性，评审供应商的设备供应渠道和响应能力（满分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分）。</w:t>
            </w:r>
          </w:p>
          <w:p w14:paraId="38926CC4">
            <w:pPr>
              <w:keepNext w:val="0"/>
              <w:keepLines w:val="0"/>
              <w:pageBreakBefore w:val="0"/>
              <w:widowControl w:val="0"/>
              <w:tabs>
                <w:tab w:val="left" w:pos="312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(1)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供应商具备高低压成套设备或相关备品备件的自行生产能力，能够自主生产本项目维保所需的关键设备：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高/低压预装式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变电站YBW-12/0.4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高压开关柜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KYN28A-12提供国家认可的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第三方检测机构出具的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型式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试验报告报告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低压开关柜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GGD及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配电箱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XL-21提供CQC产品认证型式试验报告,以上四种产品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报告载明的生产企业与供应商一致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满足的得1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分，否则得0分。</w:t>
            </w:r>
          </w:p>
          <w:p w14:paraId="15A4EB47">
            <w:pPr>
              <w:pStyle w:val="6"/>
              <w:numPr>
                <w:ilvl w:val="0"/>
                <w:numId w:val="0"/>
              </w:numPr>
              <w:bidi w:val="0"/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  <w:p w14:paraId="075CB0BE">
            <w:pPr>
              <w:pStyle w:val="6"/>
              <w:numPr>
                <w:ilvl w:val="0"/>
                <w:numId w:val="0"/>
              </w:numPr>
              <w:bidi w:val="0"/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(2)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供应商具备自有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仓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库，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种类齐全、数量充足，能满足本项目主要设备（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变压器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等）常见故障的快速更换需求。提供仓库实景照片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和加盖公章的设备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库存清单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清单需涵盖以上四种主要设备的库存量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），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满足得8分，否则得0分。</w:t>
            </w:r>
          </w:p>
          <w:p w14:paraId="2490BEDB">
            <w:pPr>
              <w:pStyle w:val="6"/>
              <w:numPr>
                <w:ilvl w:val="0"/>
                <w:numId w:val="0"/>
              </w:numPr>
              <w:bidi w:val="0"/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  <w:p w14:paraId="4512150D">
            <w:pPr>
              <w:pStyle w:val="6"/>
              <w:numPr>
                <w:ilvl w:val="0"/>
                <w:numId w:val="0"/>
              </w:numPr>
              <w:bidi w:val="0"/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(3)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供应商具有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稳定的备品备件供应渠道和调配能力。提供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与设备生产企业/授权代理商签订的合作协议或供货框架协议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供货产品需涵盖以上四种主要设备，协议履约期需覆盖本项目服务期，且协议中必须包含供货时效条款：不少于48小时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满足得4分，否则得0分。</w:t>
            </w:r>
          </w:p>
          <w:p w14:paraId="54472750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3D1EA43C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2.常规突发故障应急响应（满分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分）：</w:t>
            </w:r>
          </w:p>
          <w:p w14:paraId="71C7FDFE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对投标人的应急响应方案进行综合评分，优得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分，良得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2-3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分，差得0-1分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。</w:t>
            </w:r>
          </w:p>
          <w:p w14:paraId="09B9CACE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3.重大活动保电服务（满分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分）</w:t>
            </w:r>
          </w:p>
          <w:p w14:paraId="3B8596EA">
            <w:pPr>
              <w:tabs>
                <w:tab w:val="left" w:pos="312"/>
              </w:tabs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供应商承诺在重大活动.重要节假日或特殊保电时期的服务方案进行评分，优得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分，良得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2-3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分，差得0-1分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586" w:type="dxa"/>
            <w:vAlign w:val="center"/>
          </w:tcPr>
          <w:p w14:paraId="57F2B51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</w:tc>
      </w:tr>
    </w:tbl>
    <w:p w14:paraId="5F52081E">
      <w:pPr>
        <w:spacing w:line="240" w:lineRule="auto"/>
        <w:rPr>
          <w:rFonts w:asciiTheme="minorEastAsia" w:hAnsiTheme="minorEastAsia" w:cstheme="minorEastAsia"/>
          <w:highlight w:val="none"/>
          <w:lang w:eastAsia="zh-Hans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3F2B8D55">
      <w:pPr>
        <w:pStyle w:val="2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AC8AB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2A5772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2A5772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8C2DA4"/>
    <w:multiLevelType w:val="singleLevel"/>
    <w:tmpl w:val="338C2DA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8326EA"/>
    <w:rsid w:val="003E2476"/>
    <w:rsid w:val="00B06E28"/>
    <w:rsid w:val="02C52145"/>
    <w:rsid w:val="02E02AAB"/>
    <w:rsid w:val="0C727688"/>
    <w:rsid w:val="0E4F367E"/>
    <w:rsid w:val="0F615EBD"/>
    <w:rsid w:val="13165211"/>
    <w:rsid w:val="13750189"/>
    <w:rsid w:val="18143628"/>
    <w:rsid w:val="19930E5C"/>
    <w:rsid w:val="1BAA49C4"/>
    <w:rsid w:val="1CA71D1D"/>
    <w:rsid w:val="22FB3ADB"/>
    <w:rsid w:val="237F2849"/>
    <w:rsid w:val="264D314D"/>
    <w:rsid w:val="270E3D1E"/>
    <w:rsid w:val="28D058CB"/>
    <w:rsid w:val="2AEE177B"/>
    <w:rsid w:val="2CB573F1"/>
    <w:rsid w:val="2E3B63AD"/>
    <w:rsid w:val="2FD45C2B"/>
    <w:rsid w:val="333F0DAE"/>
    <w:rsid w:val="3618174E"/>
    <w:rsid w:val="378D25B5"/>
    <w:rsid w:val="388326EA"/>
    <w:rsid w:val="3A1A0893"/>
    <w:rsid w:val="3A3C5316"/>
    <w:rsid w:val="3E274987"/>
    <w:rsid w:val="40322D76"/>
    <w:rsid w:val="43095949"/>
    <w:rsid w:val="4D4344CF"/>
    <w:rsid w:val="50C90919"/>
    <w:rsid w:val="521376AB"/>
    <w:rsid w:val="56B440F1"/>
    <w:rsid w:val="57557506"/>
    <w:rsid w:val="57D9773B"/>
    <w:rsid w:val="5B844A35"/>
    <w:rsid w:val="5BC03595"/>
    <w:rsid w:val="5D6B3030"/>
    <w:rsid w:val="63EB4ECB"/>
    <w:rsid w:val="657C1D0C"/>
    <w:rsid w:val="67092797"/>
    <w:rsid w:val="689856B8"/>
    <w:rsid w:val="69490748"/>
    <w:rsid w:val="6BAA20E5"/>
    <w:rsid w:val="6BE33C8F"/>
    <w:rsid w:val="6D7055CE"/>
    <w:rsid w:val="6D7D01AD"/>
    <w:rsid w:val="74363F40"/>
    <w:rsid w:val="7B914CF5"/>
    <w:rsid w:val="7CCA3D48"/>
    <w:rsid w:val="7CE02C9B"/>
    <w:rsid w:val="7EE20A40"/>
    <w:rsid w:val="7FAE6CD0"/>
    <w:rsid w:val="BD7FAC6E"/>
    <w:rsid w:val="BE9F659F"/>
    <w:rsid w:val="DDEECE94"/>
    <w:rsid w:val="FFB1F72D"/>
    <w:rsid w:val="FFFEC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方正仿宋简体" w:asciiTheme="minorHAnsi" w:hAnsiTheme="minorHAnsi" w:cstheme="minorBidi"/>
      <w:kern w:val="2"/>
      <w:sz w:val="24"/>
      <w:szCs w:val="24"/>
      <w:lang w:val="en-US" w:eastAsia="zh-CN" w:bidi="ar-SA"/>
    </w:rPr>
  </w:style>
  <w:style w:type="paragraph" w:styleId="4">
    <w:name w:val="heading 4"/>
    <w:basedOn w:val="1"/>
    <w:next w:val="1"/>
    <w:link w:val="14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5">
    <w:name w:val="index 4"/>
    <w:basedOn w:val="1"/>
    <w:next w:val="1"/>
    <w:unhideWhenUsed/>
    <w:qFormat/>
    <w:uiPriority w:val="99"/>
    <w:pPr>
      <w:spacing w:before="100" w:beforeAutospacing="1" w:after="100" w:afterAutospacing="1"/>
      <w:ind w:left="600" w:leftChars="600"/>
    </w:pPr>
    <w:rPr>
      <w:rFonts w:ascii="Verdana" w:hAnsi="Verdana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8">
    <w:name w:val="Table Grid"/>
    <w:basedOn w:val="7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Cs w:val="21"/>
      <w:lang w:eastAsia="en-US"/>
    </w:rPr>
  </w:style>
  <w:style w:type="table" w:customStyle="1" w:styleId="11">
    <w:name w:val="Table Normal"/>
    <w:semiHidden/>
    <w:unhideWhenUsed/>
    <w:qFormat/>
    <w:uiPriority w:val="0"/>
    <w:rPr>
      <w:rFonts w:asciiTheme="minorHAnsi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样式"/>
    <w:link w:val="13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13">
    <w:name w:val="样式 Char"/>
    <w:link w:val="1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14">
    <w:name w:val="标题 4 Char"/>
    <w:link w:val="4"/>
    <w:qFormat/>
    <w:uiPriority w:val="0"/>
    <w:rPr>
      <w:rFonts w:ascii="Arial" w:hAnsi="Arial" w:eastAsia="黑体"/>
      <w:b/>
      <w:sz w:val="28"/>
    </w:rPr>
  </w:style>
  <w:style w:type="character" w:customStyle="1" w:styleId="15">
    <w:name w:val="页脚 Char"/>
    <w:link w:val="6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6385</Words>
  <Characters>6605</Characters>
  <Lines>0</Lines>
  <Paragraphs>0</Paragraphs>
  <TotalTime>1</TotalTime>
  <ScaleCrop>false</ScaleCrop>
  <LinksUpToDate>false</LinksUpToDate>
  <CharactersWithSpaces>6745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2026-07-10T07:07:00Z</dcterms:created>
  <dc:creator>噗噗</dc:creator>
  <cp:lastModifiedBy>134******00</cp:lastModifiedBy>
  <cp:lastPrinted>2026-09-24T03:21:00Z</cp:lastPrinted>
  <dcterms:modified xsi:type="dcterms:W3CDTF">2026-09-24T08:32:51Z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2052-12.1.0.28485</vt:lpwstr>
  </property>
  <property fmtid="{D5CDD505-2E9C-101B-9397-08002B2CF9AE}" pid="3" name="ICV">
    <vt:lpwstr>A9ABFA837DE3461AA6AE12ECE3D9AD00_13</vt:lpwstr>
  </property>
  <property fmtid="{D5CDD505-2E9C-101B-9397-08002B2CF9AE}" pid="4" name="KSOTemplateDocerSaveRecord">
    <vt:lpwstr>eyJoZGlkIjoiZjYyNTUyYjQ3Y2M1MmEyYmVjNWQ1ZDU0M2ZiODY4M2EiLCJ1c2VySWQiOiIxMzc0NTE1Njg2ODMifQ==</vt:lpwstr>
  </property>
</Properties>
</file>