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2092D75">
      <w:pPr>
        <w:widowControl/>
        <w:spacing w:line="360" w:lineRule="auto"/>
        <w:rPr>
          <w:rFonts w:hint="default" w:ascii="华文仿宋" w:hAnsi="华文仿宋" w:eastAsia="华文仿宋"/>
          <w:b w:val="0"/>
          <w:bCs w:val="0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仿宋" w:hAnsi="华文仿宋" w:eastAsia="华文仿宋"/>
          <w:b w:val="0"/>
          <w:bCs w:val="0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附件1:</w:t>
      </w:r>
    </w:p>
    <w:p w14:paraId="34B48382">
      <w:pPr>
        <w:spacing w:line="600" w:lineRule="auto"/>
        <w:jc w:val="center"/>
        <w:rPr>
          <w:rFonts w:hint="eastAsia" w:ascii="华文中宋" w:hAnsi="华文中宋" w:eastAsia="华文中宋" w:cs="黑体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黑体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西南财经大学后勤服务总公司ISO22000食品安全管理体系咨询服务采购项目报价表</w:t>
      </w:r>
    </w:p>
    <w:tbl>
      <w:tblPr>
        <w:tblStyle w:val="5"/>
        <w:tblW w:w="561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"/>
        <w:gridCol w:w="1082"/>
        <w:gridCol w:w="6385"/>
        <w:gridCol w:w="692"/>
        <w:gridCol w:w="1021"/>
      </w:tblGrid>
      <w:tr w14:paraId="1FDE74AA">
        <w:trPr>
          <w:trHeight w:val="283" w:hRule="atLeast"/>
          <w:jc w:val="center"/>
        </w:trPr>
        <w:tc>
          <w:tcPr>
            <w:tcW w:w="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8ECCB8">
            <w:pPr>
              <w:rPr>
                <w:rFonts w:hint="eastAsia" w:ascii="华文仿宋" w:hAnsi="华文仿宋" w:eastAsia="华文仿宋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2430D9">
            <w:pPr>
              <w:rPr>
                <w:rFonts w:hint="default" w:ascii="华文仿宋" w:hAnsi="华文仿宋" w:eastAsia="华文仿宋"/>
                <w:b/>
                <w:bCs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6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273E4">
            <w:pPr>
              <w:rPr>
                <w:rFonts w:hint="default" w:ascii="华文仿宋" w:hAnsi="华文仿宋" w:eastAsia="华文仿宋"/>
                <w:b/>
                <w:bCs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服务内容及要求</w:t>
            </w:r>
          </w:p>
        </w:tc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802C68">
            <w:pPr>
              <w:rPr>
                <w:rFonts w:hint="default" w:ascii="华文仿宋" w:hAnsi="华文仿宋" w:eastAsia="华文仿宋"/>
                <w:b/>
                <w:bCs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78FCC7">
            <w:pPr>
              <w:rPr>
                <w:rFonts w:hint="default" w:ascii="华文仿宋" w:hAnsi="华文仿宋" w:eastAsia="华文仿宋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价格</w:t>
            </w:r>
            <w:r>
              <w:rPr>
                <w:rFonts w:hint="default" w:ascii="华文仿宋" w:hAnsi="华文仿宋" w:eastAsia="华文仿宋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华文仿宋" w:hAnsi="华文仿宋" w:eastAsia="华文仿宋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元</w:t>
            </w:r>
            <w:r>
              <w:rPr>
                <w:rFonts w:hint="default" w:ascii="华文仿宋" w:hAnsi="华文仿宋" w:eastAsia="华文仿宋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 w14:paraId="1D804DF5">
        <w:trPr>
          <w:trHeight w:val="283" w:hRule="atLeast"/>
          <w:jc w:val="center"/>
        </w:trPr>
        <w:tc>
          <w:tcPr>
            <w:tcW w:w="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6B6107">
            <w:pPr>
              <w:jc w:val="center"/>
              <w:rPr>
                <w:rFonts w:hint="eastAsia" w:ascii="华文仿宋" w:hAnsi="华文仿宋" w:eastAsia="华文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ECDD31">
            <w:pPr>
              <w:jc w:val="center"/>
              <w:rPr>
                <w:rFonts w:hint="eastAsia" w:ascii="华文仿宋" w:hAnsi="华文仿宋" w:eastAsia="华文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ISO22000食品安全管理体系咨询服务</w:t>
            </w:r>
          </w:p>
        </w:tc>
        <w:tc>
          <w:tcPr>
            <w:tcW w:w="6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6F3C43">
            <w:pPr>
              <w:numPr>
                <w:ilvl w:val="0"/>
                <w:numId w:val="1"/>
              </w:numPr>
              <w:jc w:val="left"/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服务范围：涉及一粟堂、三味堂、五谷堂、一食堂四个场所，餐饮服务类别包含热食类食品制售、冷食类食品制售、自制饮品制售，人员规模约300人。覆盖采购验收、储存、加工、供餐、餐用具洗消、废弃物处理全流程，重点管控冷食类、自制饮品等高风险环节。</w:t>
            </w:r>
          </w:p>
          <w:p w14:paraId="186CD3B9">
            <w:pPr>
              <w:numPr>
                <w:ilvl w:val="0"/>
                <w:numId w:val="1"/>
              </w:numPr>
              <w:jc w:val="left"/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服务内容：</w:t>
            </w:r>
          </w:p>
          <w:p w14:paraId="66A18631">
            <w:pPr>
              <w:numPr>
                <w:ilvl w:val="0"/>
                <w:numId w:val="0"/>
              </w:numPr>
              <w:jc w:val="left"/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2.1现场调研诊断及基础数据收集</w:t>
            </w:r>
          </w:p>
          <w:p w14:paraId="508DAF3B">
            <w:pPr>
              <w:numPr>
                <w:ilvl w:val="0"/>
                <w:numId w:val="0"/>
              </w:numPr>
              <w:ind w:firstLine="420" w:firstLineChars="200"/>
              <w:jc w:val="left"/>
              <w:rPr>
                <w:rFonts w:hint="default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2.1.1赴四个食堂进行</w:t>
            </w:r>
            <w:r>
              <w:rPr>
                <w:rFonts w:hint="eastAsia" w:ascii="华文仿宋" w:hAnsi="华文仿宋" w:eastAsia="华文仿宋"/>
                <w:b w:val="0"/>
                <w:bCs w:val="0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现场调研至少1次</w:t>
            </w:r>
            <w:r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，对现有文件制度、记录表单、布局图、虫害图等进行调研收集，对照最新版ISO 22000开展差距分析。</w:t>
            </w:r>
          </w:p>
          <w:p w14:paraId="6A4AA2F5">
            <w:pPr>
              <w:numPr>
                <w:ilvl w:val="0"/>
                <w:numId w:val="0"/>
              </w:numPr>
              <w:ind w:firstLine="420" w:firstLineChars="200"/>
              <w:jc w:val="left"/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2.1.2绘制并</w:t>
            </w:r>
            <w:bookmarkStart w:id="0" w:name="_GoBack"/>
            <w:bookmarkEnd w:id="0"/>
            <w:r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完善四个食堂平面布局图、虫害防治设施分布图，识别CCP、OPRP及关键控制环节。</w:t>
            </w:r>
          </w:p>
          <w:p w14:paraId="42900BBB">
            <w:pPr>
              <w:numPr>
                <w:ilvl w:val="0"/>
                <w:numId w:val="0"/>
              </w:numPr>
              <w:ind w:firstLine="420" w:firstLineChars="200"/>
              <w:jc w:val="left"/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2.1.3提交差距分析报告及基础数据清单。</w:t>
            </w:r>
          </w:p>
          <w:p w14:paraId="0BAC415F">
            <w:pPr>
              <w:numPr>
                <w:ilvl w:val="0"/>
                <w:numId w:val="0"/>
              </w:numPr>
              <w:jc w:val="left"/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2.2现场培训及检查</w:t>
            </w:r>
          </w:p>
          <w:p w14:paraId="261395EB">
            <w:pPr>
              <w:numPr>
                <w:ilvl w:val="0"/>
                <w:numId w:val="0"/>
              </w:numPr>
              <w:ind w:firstLine="420" w:firstLineChars="200"/>
              <w:jc w:val="left"/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2.2.1定期赴四个食堂开展现场检查不少于3次，每次须出具检查报告并跟踪整改。</w:t>
            </w:r>
          </w:p>
          <w:p w14:paraId="36EF355F">
            <w:pPr>
              <w:numPr>
                <w:ilvl w:val="0"/>
                <w:numId w:val="0"/>
              </w:numPr>
              <w:ind w:firstLine="420" w:firstLineChars="200"/>
              <w:jc w:val="left"/>
              <w:rPr>
                <w:rFonts w:hint="default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2.2.2 针对现场检查中发现的问题开展培训，面向全员开展食品安全相关现场培训及考核累计不少于3次。</w:t>
            </w:r>
          </w:p>
          <w:p w14:paraId="695F73E1">
            <w:pPr>
              <w:numPr>
                <w:ilvl w:val="0"/>
                <w:numId w:val="0"/>
              </w:numPr>
              <w:jc w:val="left"/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2.3体系文件完善与运行咨询</w:t>
            </w:r>
          </w:p>
          <w:p w14:paraId="321F1BAC">
            <w:pPr>
              <w:numPr>
                <w:ilvl w:val="0"/>
                <w:numId w:val="0"/>
              </w:numPr>
              <w:ind w:firstLine="420" w:firstLineChars="200"/>
              <w:jc w:val="left"/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2.3.1依据最新ISO 22000标准及实际运行情况，编制并完善食品安全管理手册、程序文件、作业指导书及配套记录表等文件。    </w:t>
            </w:r>
          </w:p>
          <w:p w14:paraId="2665C734">
            <w:pPr>
              <w:numPr>
                <w:ilvl w:val="0"/>
                <w:numId w:val="0"/>
              </w:numPr>
              <w:ind w:firstLine="420" w:firstLineChars="200"/>
              <w:jc w:val="left"/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2.3.2指导体系试运行，组织并指导内部审核、管理评审，完成不符合项整改闭环。</w:t>
            </w:r>
          </w:p>
          <w:p w14:paraId="5DA02E5E">
            <w:pPr>
              <w:numPr>
                <w:ilvl w:val="0"/>
                <w:numId w:val="0"/>
              </w:numPr>
              <w:ind w:firstLine="420" w:firstLineChars="200"/>
              <w:jc w:val="left"/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2.3.3最终定稿需现场完成，结合现场运行核查进行文件适用性确认，提交体系文件（含法律法规清单）、内审报告、管理评审报告。</w:t>
            </w:r>
          </w:p>
          <w:p w14:paraId="5C162543">
            <w:pPr>
              <w:numPr>
                <w:ilvl w:val="0"/>
                <w:numId w:val="0"/>
              </w:numPr>
              <w:jc w:val="left"/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2.4检测与校准</w:t>
            </w:r>
          </w:p>
          <w:p w14:paraId="6E56C8C6">
            <w:pPr>
              <w:numPr>
                <w:ilvl w:val="0"/>
                <w:numId w:val="0"/>
              </w:numPr>
              <w:ind w:firstLine="420" w:firstLineChars="200"/>
              <w:jc w:val="left"/>
              <w:rPr>
                <w:rFonts w:hint="default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2.4.1成品菜品检测20件，餐用具检测15件，检测涵盖微生物及必要理化指标，出具CMA或CNAS检测报告。</w:t>
            </w:r>
          </w:p>
          <w:p w14:paraId="62B68536">
            <w:pPr>
              <w:numPr>
                <w:ilvl w:val="0"/>
                <w:numId w:val="0"/>
              </w:numPr>
              <w:ind w:firstLine="420" w:firstLineChars="200"/>
              <w:jc w:val="left"/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2.4.2温度计校准26件，电子秤校准10件，出具CMA或CNAS校准证书。</w:t>
            </w:r>
          </w:p>
          <w:p w14:paraId="5174104B">
            <w:pPr>
              <w:numPr>
                <w:ilvl w:val="0"/>
                <w:numId w:val="0"/>
              </w:numPr>
              <w:ind w:firstLine="420" w:firstLineChars="200"/>
              <w:jc w:val="left"/>
              <w:rPr>
                <w:rFonts w:hint="default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2.4.3上述检测、校准件数为预估数量，以服务期内实际发生数量为准；因检测或校准不合格需重新检测、校准的，以及为完成本项目检测校准所发生的一切费用，均包含在报价中，采购人不再另行支付。</w:t>
            </w:r>
          </w:p>
          <w:p w14:paraId="3082912D">
            <w:pPr>
              <w:numPr>
                <w:ilvl w:val="0"/>
                <w:numId w:val="0"/>
              </w:numPr>
              <w:jc w:val="left"/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2.5内审人员培训及证书颁发</w:t>
            </w:r>
          </w:p>
          <w:p w14:paraId="30DA6D07">
            <w:pPr>
              <w:numPr>
                <w:ilvl w:val="0"/>
                <w:numId w:val="0"/>
              </w:numPr>
              <w:jc w:val="left"/>
              <w:rPr>
                <w:rFonts w:hint="default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培训人数约18人，内容含最新版ISO 22000标准、执行落地、审核技巧及实操演练，考核合格颁发有效期为三年的内审员证书。考核未合格人员，须在1个月内，再次组织培训直至全部人员通过考核。本项培训不包含在2.2培训内。</w:t>
            </w:r>
          </w:p>
          <w:p w14:paraId="79DA1768">
            <w:pPr>
              <w:numPr>
                <w:ilvl w:val="0"/>
                <w:numId w:val="0"/>
              </w:numPr>
              <w:jc w:val="left"/>
              <w:rPr>
                <w:rFonts w:hint="default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3、售后</w:t>
            </w:r>
            <w:r>
              <w:rPr>
                <w:rFonts w:hint="eastAsia" w:ascii="华文仿宋" w:hAnsi="华文仿宋" w:eastAsia="华文仿宋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服务：在后续两年监督审核期间提供咨询和文件修改服务，每年须提供一次现场咨询服务，完成</w:t>
            </w:r>
            <w:r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体系文件、内审报告、管理评审报告等文件的修改</w:t>
            </w:r>
            <w:r>
              <w:rPr>
                <w:rFonts w:hint="eastAsia" w:ascii="华文仿宋" w:hAnsi="华文仿宋" w:eastAsia="华文仿宋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7E801893">
            <w:pPr>
              <w:numPr>
                <w:ilvl w:val="0"/>
                <w:numId w:val="0"/>
              </w:numPr>
              <w:jc w:val="left"/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4、服务期限：自合同签订之日起至取得ISO 22000认证证书并验收合格。</w:t>
            </w:r>
          </w:p>
          <w:p w14:paraId="04B77BA6">
            <w:pPr>
              <w:numPr>
                <w:ilvl w:val="0"/>
                <w:numId w:val="0"/>
              </w:numPr>
              <w:jc w:val="left"/>
              <w:rPr>
                <w:rFonts w:hint="default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5、</w:t>
            </w:r>
            <w:r>
              <w:rPr>
                <w:rFonts w:hint="default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验收标准</w:t>
            </w:r>
            <w:r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 w14:paraId="093B3CDE">
            <w:pPr>
              <w:numPr>
                <w:ilvl w:val="0"/>
                <w:numId w:val="0"/>
              </w:numPr>
              <w:ind w:firstLine="420" w:firstLineChars="200"/>
              <w:jc w:val="left"/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5.1ISO22200</w:t>
            </w:r>
            <w:r>
              <w:rPr>
                <w:rFonts w:hint="default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体系文件齐全</w:t>
            </w:r>
            <w:r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且契合部门实际情况</w:t>
            </w:r>
            <w:r>
              <w:rPr>
                <w:rFonts w:hint="default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有效运行</w:t>
            </w:r>
            <w:r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55B13912">
            <w:pPr>
              <w:numPr>
                <w:ilvl w:val="0"/>
                <w:numId w:val="0"/>
              </w:numPr>
              <w:ind w:firstLine="420" w:firstLineChars="200"/>
              <w:jc w:val="left"/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5.2完成</w:t>
            </w:r>
            <w:r>
              <w:rPr>
                <w:rFonts w:hint="default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内审、管理评审</w:t>
            </w:r>
            <w:r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并出具配套相关报告</w:t>
            </w:r>
            <w:r>
              <w:rPr>
                <w:rFonts w:hint="default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完成</w:t>
            </w:r>
            <w:r>
              <w:rPr>
                <w:rFonts w:hint="default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不符合项整改</w:t>
            </w:r>
            <w:r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（日常监督、内审、认证审核等）。</w:t>
            </w:r>
          </w:p>
          <w:p w14:paraId="07DAD17E">
            <w:pPr>
              <w:numPr>
                <w:ilvl w:val="0"/>
                <w:numId w:val="0"/>
              </w:numPr>
              <w:ind w:firstLine="420" w:firstLineChars="200"/>
              <w:jc w:val="left"/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5.3完成</w:t>
            </w:r>
            <w:r>
              <w:rPr>
                <w:rFonts w:hint="default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检测/校准项目且结果</w:t>
            </w:r>
            <w:r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达</w:t>
            </w:r>
            <w:r>
              <w:rPr>
                <w:rFonts w:hint="default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合格</w:t>
            </w:r>
            <w:r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，完成内审人员培训并颁发证书。</w:t>
            </w:r>
          </w:p>
          <w:p w14:paraId="769BBC4F">
            <w:pPr>
              <w:numPr>
                <w:ilvl w:val="0"/>
                <w:numId w:val="0"/>
              </w:numPr>
              <w:ind w:firstLine="420" w:firstLineChars="200"/>
              <w:jc w:val="left"/>
              <w:rPr>
                <w:rFonts w:hint="default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5.4</w:t>
            </w:r>
            <w:r>
              <w:rPr>
                <w:rFonts w:hint="default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通过第三方认证审核，</w:t>
            </w:r>
            <w:r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在2027年度内</w:t>
            </w:r>
            <w:r>
              <w:rPr>
                <w:rFonts w:hint="default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取得ISO 22000食品安全管理体系认证证书。</w:t>
            </w:r>
          </w:p>
          <w:p w14:paraId="5DDDE448">
            <w:pPr>
              <w:numPr>
                <w:ilvl w:val="0"/>
                <w:numId w:val="0"/>
              </w:numPr>
              <w:jc w:val="left"/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6、行业依据</w:t>
            </w:r>
          </w:p>
          <w:p w14:paraId="19D0436B">
            <w:pPr>
              <w:numPr>
                <w:ilvl w:val="0"/>
                <w:numId w:val="0"/>
              </w:numPr>
              <w:ind w:firstLine="420" w:firstLineChars="200"/>
              <w:jc w:val="left"/>
              <w:rPr>
                <w:rFonts w:hint="default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符合最新版ISO 22000、GB/T 22000、HACCP原理、《食品安全法》、GB 31654等餐饮服务食品安全相关法规标准要求，以及《四川省高等学校学生食堂管理办法》、《高等学校学生食堂建设和管理服务规范》等最新文件要求。</w:t>
            </w:r>
          </w:p>
        </w:tc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6F5F54">
            <w:pPr>
              <w:jc w:val="center"/>
              <w:rPr>
                <w:rFonts w:hint="eastAsia" w:ascii="华文仿宋" w:hAnsi="华文仿宋" w:eastAsia="华文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1项</w:t>
            </w: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9553F2">
            <w:pPr>
              <w:jc w:val="center"/>
              <w:rPr>
                <w:rFonts w:hint="eastAsia" w:ascii="华文仿宋" w:hAnsi="华文仿宋" w:eastAsia="华文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4D05E0B">
        <w:trPr>
          <w:trHeight w:val="283" w:hRule="atLeast"/>
          <w:jc w:val="center"/>
        </w:trPr>
        <w:tc>
          <w:tcPr>
            <w:tcW w:w="85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4727E2">
            <w:pPr>
              <w:rPr>
                <w:rFonts w:hint="eastAsia" w:ascii="华文仿宋" w:hAnsi="华文仿宋" w:eastAsia="华文仿宋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总计（含税）：</w:t>
            </w: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E7139C">
            <w:pPr>
              <w:rPr>
                <w:rFonts w:hint="eastAsia" w:ascii="华文仿宋" w:hAnsi="华文仿宋" w:eastAsia="华文仿宋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2255D95">
      <w:pPr>
        <w:rPr>
          <w:rFonts w:hint="eastAsia" w:ascii="华文仿宋" w:hAnsi="华文仿宋" w:eastAsia="华文仿宋"/>
          <w:b/>
          <w:bCs/>
          <w:color w:val="000000" w:themeColor="text1"/>
          <w:sz w:val="24"/>
          <w:szCs w:val="24"/>
          <w:highlight w:val="none"/>
          <w:u w:val="singl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仿宋" w:hAnsi="华文仿宋" w:eastAsia="华文仿宋"/>
          <w:b/>
          <w:bCs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>其他要求：</w:t>
      </w:r>
      <w:r>
        <w:rPr>
          <w:rFonts w:hint="eastAsia" w:ascii="华文仿宋" w:hAnsi="华文仿宋" w:eastAsia="华文仿宋"/>
          <w:b/>
          <w:bCs/>
          <w:color w:val="000000" w:themeColor="text1"/>
          <w:sz w:val="24"/>
          <w:szCs w:val="24"/>
          <w:highlight w:val="none"/>
          <w:u w:val="singl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华文仿宋" w:hAnsi="华文仿宋" w:eastAsia="华文仿宋"/>
          <w:b/>
          <w:bCs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以下全部为实质性要求</w:t>
      </w:r>
      <w:r>
        <w:rPr>
          <w:rFonts w:hint="eastAsia" w:ascii="华文仿宋" w:hAnsi="华文仿宋" w:eastAsia="华文仿宋"/>
          <w:b/>
          <w:bCs/>
          <w:color w:val="000000" w:themeColor="text1"/>
          <w:sz w:val="24"/>
          <w:szCs w:val="24"/>
          <w:highlight w:val="none"/>
          <w:u w:val="single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30535922">
      <w:pPr>
        <w:widowControl/>
        <w:numPr>
          <w:ilvl w:val="0"/>
          <w:numId w:val="0"/>
        </w:numPr>
        <w:jc w:val="left"/>
        <w:rPr>
          <w:rFonts w:hint="eastAsia" w:ascii="华文仿宋" w:hAnsi="华文仿宋" w:eastAsia="华文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仿宋" w:hAnsi="华文仿宋" w:eastAsia="华文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1、报价：本次报价为完成采购文件要求内容所发生的一切费用，包括但不限于咨询服务费、培训费、检测/校准费、税费、咨询老师往返交通费及食宿费和采购文件规定的其他等一切费用，合同期间因ISO 22000标准换版或修订产生的体系文件转版费用，包含在报价总价内，采购人不再格外支付任何其他费用。</w:t>
      </w:r>
    </w:p>
    <w:p w14:paraId="4238FE41">
      <w:pPr>
        <w:widowControl/>
        <w:numPr>
          <w:ilvl w:val="0"/>
          <w:numId w:val="0"/>
        </w:numPr>
        <w:jc w:val="left"/>
        <w:rPr>
          <w:rFonts w:hint="eastAsia" w:ascii="华文仿宋" w:hAnsi="华文仿宋" w:eastAsia="华文仿宋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华文仿宋" w:hAnsi="华文仿宋" w:eastAsia="华文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="华文仿宋" w:hAnsi="华文仿宋" w:eastAsia="华文仿宋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支付</w:t>
      </w:r>
      <w:r>
        <w:rPr>
          <w:rFonts w:hint="eastAsia" w:ascii="华文仿宋" w:hAnsi="华文仿宋" w:eastAsia="华文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方式</w:t>
      </w:r>
      <w:r>
        <w:rPr>
          <w:rFonts w:hint="eastAsia" w:ascii="华文仿宋" w:hAnsi="华文仿宋" w:eastAsia="华文仿宋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华文仿宋" w:hAnsi="华文仿宋" w:eastAsia="华文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合同签订并提交实施计划后，供应商提供齐全的支付凭证后支付</w:t>
      </w:r>
      <w:r>
        <w:rPr>
          <w:rFonts w:hint="eastAsia" w:ascii="华文仿宋" w:hAnsi="华文仿宋" w:eastAsia="华文仿宋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合同总金额的</w:t>
      </w:r>
      <w:r>
        <w:rPr>
          <w:rFonts w:hint="eastAsia" w:ascii="华文仿宋" w:hAnsi="华文仿宋" w:eastAsia="华文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40%，取得认证证书并验收合格后支付</w:t>
      </w:r>
      <w:r>
        <w:rPr>
          <w:rFonts w:hint="eastAsia" w:ascii="华文仿宋" w:hAnsi="华文仿宋" w:eastAsia="华文仿宋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合同总金额的</w:t>
      </w:r>
      <w:r>
        <w:rPr>
          <w:rFonts w:hint="eastAsia" w:ascii="华文仿宋" w:hAnsi="华文仿宋" w:eastAsia="华文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华文仿宋" w:hAnsi="华文仿宋" w:eastAsia="华文仿宋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0%。</w:t>
      </w:r>
    </w:p>
    <w:p w14:paraId="379C0905">
      <w:pPr>
        <w:widowControl/>
        <w:numPr>
          <w:ilvl w:val="0"/>
          <w:numId w:val="0"/>
        </w:numPr>
        <w:jc w:val="left"/>
        <w:rPr>
          <w:rFonts w:hint="default" w:ascii="华文仿宋" w:hAnsi="华文仿宋" w:eastAsia="华文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仿宋" w:hAnsi="华文仿宋" w:eastAsia="华文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3、履约保证金：合同签订前向采购人指定账户缴纳中标金额的10%人民币（计算结果向下取整至整数“元”，不保留角、分）作为履约保证金。</w:t>
      </w:r>
    </w:p>
    <w:p w14:paraId="6EB6447E">
      <w:pPr>
        <w:widowControl/>
        <w:numPr>
          <w:ilvl w:val="0"/>
          <w:numId w:val="0"/>
        </w:numPr>
        <w:jc w:val="left"/>
        <w:rPr>
          <w:rFonts w:hint="default" w:ascii="华文中宋" w:hAnsi="华文中宋" w:eastAsia="华文中宋" w:cs="黑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仿宋" w:hAnsi="华文仿宋" w:eastAsia="华文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4、违约处理：由于供应商原因，未在2027年度内取得认证证书，采购人有权扣除全部履约保证金并要求供应商退回全部已支付费用，供应商须继续无偿提供资质咨询服务直至取证，延长期不超过3个月；延长期满仍未取证的，采购人可另行委托，所需费用由供应商承担。由于采购人原因，未能取得认证，供应商须继续无偿提供咨询服务直至取证。</w:t>
      </w:r>
    </w:p>
    <w:tbl>
      <w:tblPr>
        <w:tblStyle w:val="6"/>
        <w:tblpPr w:leftFromText="180" w:rightFromText="180" w:vertAnchor="text" w:horzAnchor="page" w:tblpXSpec="center" w:tblpY="291"/>
        <w:tblOverlap w:val="never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7"/>
        <w:gridCol w:w="2841"/>
        <w:gridCol w:w="2841"/>
      </w:tblGrid>
      <w:tr w14:paraId="314DA172">
        <w:trPr>
          <w:jc w:val="center"/>
        </w:trPr>
        <w:tc>
          <w:tcPr>
            <w:tcW w:w="1665" w:type="pct"/>
            <w:tcBorders>
              <w:tl2br w:val="nil"/>
              <w:tr2bl w:val="nil"/>
            </w:tcBorders>
          </w:tcPr>
          <w:p w14:paraId="0CA2F0A9">
            <w:pPr>
              <w:rPr>
                <w:rFonts w:asciiTheme="majorEastAsia" w:hAnsiTheme="majorEastAsia" w:eastAsiaTheme="majorEastAsia" w:cstheme="majorEastAsia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联系人：</w:t>
            </w:r>
          </w:p>
        </w:tc>
        <w:tc>
          <w:tcPr>
            <w:tcW w:w="1667" w:type="pct"/>
            <w:tcBorders>
              <w:tl2br w:val="nil"/>
              <w:tr2bl w:val="nil"/>
            </w:tcBorders>
          </w:tcPr>
          <w:p w14:paraId="25820ECD">
            <w:pPr>
              <w:rPr>
                <w:rFonts w:asciiTheme="majorEastAsia" w:hAnsiTheme="majorEastAsia" w:eastAsiaTheme="majorEastAsia" w:cstheme="majorEastAsia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电话：</w:t>
            </w:r>
          </w:p>
        </w:tc>
        <w:tc>
          <w:tcPr>
            <w:tcW w:w="1667" w:type="pct"/>
            <w:tcBorders>
              <w:tl2br w:val="nil"/>
              <w:tr2bl w:val="nil"/>
            </w:tcBorders>
          </w:tcPr>
          <w:p w14:paraId="5662DE29">
            <w:pPr>
              <w:rPr>
                <w:rFonts w:asciiTheme="majorEastAsia" w:hAnsiTheme="majorEastAsia" w:eastAsiaTheme="majorEastAsia" w:cstheme="majorEastAsia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本次报价有效期为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90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天。</w:t>
            </w:r>
          </w:p>
        </w:tc>
      </w:tr>
      <w:tr w14:paraId="3A111C9A">
        <w:trPr>
          <w:jc w:val="center"/>
        </w:trPr>
        <w:tc>
          <w:tcPr>
            <w:tcW w:w="1665" w:type="pct"/>
            <w:tcBorders>
              <w:tl2br w:val="nil"/>
              <w:tr2bl w:val="nil"/>
            </w:tcBorders>
          </w:tcPr>
          <w:p w14:paraId="69C670A7">
            <w:pP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7" w:type="pct"/>
            <w:tcBorders>
              <w:tl2br w:val="nil"/>
              <w:tr2bl w:val="nil"/>
            </w:tcBorders>
          </w:tcPr>
          <w:p w14:paraId="0A874D18">
            <w:pP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7" w:type="pct"/>
            <w:tcBorders>
              <w:tl2br w:val="nil"/>
              <w:tr2bl w:val="nil"/>
            </w:tcBorders>
          </w:tcPr>
          <w:p w14:paraId="23F9BF11">
            <w:pP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543866F">
        <w:trPr>
          <w:jc w:val="center"/>
        </w:trPr>
        <w:tc>
          <w:tcPr>
            <w:tcW w:w="1665" w:type="pct"/>
            <w:tcBorders>
              <w:tl2br w:val="nil"/>
              <w:tr2bl w:val="nil"/>
            </w:tcBorders>
          </w:tcPr>
          <w:p w14:paraId="3E785F20">
            <w:pPr>
              <w:rPr>
                <w:rFonts w:asciiTheme="majorEastAsia" w:hAnsiTheme="majorEastAsia" w:eastAsiaTheme="majorEastAsia" w:cstheme="majorEastAsia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7" w:type="pct"/>
            <w:tcBorders>
              <w:tl2br w:val="nil"/>
              <w:tr2bl w:val="nil"/>
            </w:tcBorders>
          </w:tcPr>
          <w:p w14:paraId="5097F3CF">
            <w:pPr>
              <w:rPr>
                <w:rFonts w:asciiTheme="majorEastAsia" w:hAnsiTheme="majorEastAsia" w:eastAsiaTheme="majorEastAsia" w:cstheme="majorEastAsia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7" w:type="pct"/>
            <w:tcBorders>
              <w:tl2br w:val="nil"/>
              <w:tr2bl w:val="nil"/>
            </w:tcBorders>
          </w:tcPr>
          <w:p w14:paraId="002C08E7">
            <w:pPr>
              <w:jc w:val="left"/>
              <w:rPr>
                <w:rFonts w:asciiTheme="majorEastAsia" w:hAnsiTheme="majorEastAsia" w:eastAsiaTheme="majorEastAsia" w:cstheme="majorEastAsia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报价单位（盖章）：        </w:t>
            </w:r>
          </w:p>
          <w:p w14:paraId="229E311E">
            <w:pPr>
              <w:jc w:val="left"/>
              <w:rPr>
                <w:rFonts w:asciiTheme="majorEastAsia" w:hAnsiTheme="majorEastAsia" w:eastAsiaTheme="majorEastAsia" w:cstheme="majorEastAsia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法定代表人或被授权人签字：</w:t>
            </w:r>
          </w:p>
          <w:p w14:paraId="38248D0C">
            <w:pPr>
              <w:jc w:val="left"/>
              <w:rPr>
                <w:rFonts w:asciiTheme="majorEastAsia" w:hAnsiTheme="majorEastAsia" w:eastAsiaTheme="majorEastAsia" w:cstheme="majorEastAsia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日期：</w:t>
            </w:r>
          </w:p>
        </w:tc>
      </w:tr>
    </w:tbl>
    <w:p w14:paraId="4B1E50F2">
      <w:pPr>
        <w:rPr>
          <w:sz w:val="10"/>
          <w:szCs w:val="1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FZFangSong-Z02S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FZHei-B01S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DejaVu Sans">
    <w:altName w:val="苹方-简"/>
    <w:panose1 w:val="02020603050405020304"/>
    <w:charset w:val="00"/>
    <w:family w:val="roman"/>
    <w:pitch w:val="default"/>
    <w:sig w:usb0="00000000" w:usb1="00000000" w:usb2="00000008" w:usb3="00000000" w:csb0="000001FF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0CDA99C"/>
    <w:multiLevelType w:val="singleLevel"/>
    <w:tmpl w:val="70CDA99C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AE4D09"/>
    <w:rsid w:val="3EB69F11"/>
    <w:rsid w:val="3EBB68F6"/>
    <w:rsid w:val="4E3E0298"/>
    <w:rsid w:val="5F5FBB0B"/>
    <w:rsid w:val="5FF93231"/>
    <w:rsid w:val="5FFEF586"/>
    <w:rsid w:val="7BD72F8B"/>
    <w:rsid w:val="7EFDD977"/>
    <w:rsid w:val="9DEF9C93"/>
    <w:rsid w:val="BCFE87F0"/>
    <w:rsid w:val="DBAF39AE"/>
    <w:rsid w:val="DD93011C"/>
    <w:rsid w:val="EE77AB62"/>
    <w:rsid w:val="EF3DE05C"/>
    <w:rsid w:val="EFAE4D09"/>
    <w:rsid w:val="F653A72A"/>
    <w:rsid w:val="FBFD598E"/>
    <w:rsid w:val="FE7EDC71"/>
    <w:rsid w:val="FF4FEAB3"/>
    <w:rsid w:val="FFFF3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eastAsia="FZHei-B01S"/>
      <w:b/>
      <w:kern w:val="44"/>
      <w:sz w:val="36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DejaVu Sans" w:hAnsi="DejaVu Sans" w:eastAsia="FZHei-B01S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FZHei-B01S"/>
      <w:b/>
      <w:sz w:val="28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6">
    <w:name w:val="Table Grid"/>
    <w:basedOn w:val="5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标题4"/>
    <w:basedOn w:val="1"/>
    <w:uiPriority w:val="0"/>
    <w:rPr>
      <w:rFonts w:eastAsia="FZFangSong-Z02S"/>
      <w:b/>
      <w:sz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Office_12.1.28492.28492_F1E327BC-269C-435d-A152-05C5408002CA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2026-10-22T09:29:00Z</dcterms:created>
  <dc:creator>Lv</dc:creator>
  <cp:lastModifiedBy>Lv</cp:lastModifiedBy>
  <dcterms:modified xsi:type="dcterms:W3CDTF">2026-10-23T11:46:04Z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2052-12.1.28492.28492</vt:lpwstr>
  </property>
  <property fmtid="{D5CDD505-2E9C-101B-9397-08002B2CF9AE}" pid="3" name="ICV">
    <vt:lpwstr>043FB9DA8BBFB8390786D86A404A942D_41</vt:lpwstr>
  </property>
</Properties>
</file>